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01" w:rsidRDefault="009269EF">
      <w:pPr>
        <w:rPr>
          <w:rFonts w:ascii="宋体" w:hAnsi="宋体"/>
          <w:b/>
          <w:sz w:val="28"/>
          <w:szCs w:val="28"/>
        </w:rPr>
      </w:pPr>
      <w:r w:rsidRPr="00316614">
        <w:rPr>
          <w:rFonts w:ascii="宋体" w:hAnsi="宋体" w:hint="eastAsia"/>
          <w:b/>
          <w:sz w:val="28"/>
          <w:szCs w:val="28"/>
        </w:rPr>
        <w:t>附件1：论文选题范围</w:t>
      </w:r>
    </w:p>
    <w:p w:rsidR="00FB6C77" w:rsidRPr="00291F34" w:rsidRDefault="00FB6C77" w:rsidP="00FB6C77">
      <w:pPr>
        <w:pStyle w:val="2"/>
        <w:spacing w:before="0" w:after="0" w:line="240" w:lineRule="auto"/>
        <w:ind w:left="426" w:hanging="426"/>
        <w:rPr>
          <w:rFonts w:ascii="宋体" w:hAnsi="宋体"/>
          <w:sz w:val="24"/>
          <w:szCs w:val="24"/>
        </w:rPr>
      </w:pPr>
      <w:bookmarkStart w:id="0" w:name="_Toc261273865"/>
      <w:r w:rsidRPr="00291F34">
        <w:rPr>
          <w:rFonts w:ascii="宋体" w:hAnsi="宋体" w:hint="eastAsia"/>
          <w:sz w:val="24"/>
          <w:szCs w:val="24"/>
        </w:rPr>
        <w:t>选题指导(</w:t>
      </w:r>
      <w:r w:rsidR="00C43965">
        <w:rPr>
          <w:rFonts w:ascii="宋体" w:hAnsi="宋体" w:hint="eastAsia"/>
          <w:sz w:val="24"/>
          <w:szCs w:val="24"/>
        </w:rPr>
        <w:t>一定要结合自己的实际情况,拟出自己所力所能及的题目</w:t>
      </w:r>
      <w:r w:rsidRPr="00291F34">
        <w:rPr>
          <w:rFonts w:ascii="宋体" w:hAnsi="宋体" w:hint="eastAsia"/>
          <w:sz w:val="24"/>
          <w:szCs w:val="24"/>
        </w:rPr>
        <w:t>)</w:t>
      </w:r>
      <w:bookmarkEnd w:id="0"/>
      <w:r w:rsidRPr="00291F34">
        <w:rPr>
          <w:rFonts w:ascii="宋体" w:hAnsi="宋体" w:hint="eastAsia"/>
          <w:sz w:val="24"/>
          <w:szCs w:val="24"/>
        </w:rPr>
        <w:t xml:space="preserve"> </w:t>
      </w:r>
    </w:p>
    <w:p w:rsidR="00FB6C77" w:rsidRPr="00291F34" w:rsidRDefault="00FB6C77" w:rsidP="00FB6C77">
      <w:pPr>
        <w:pStyle w:val="3"/>
        <w:spacing w:before="0" w:after="0" w:line="240" w:lineRule="auto"/>
        <w:ind w:left="426" w:hanging="426"/>
        <w:rPr>
          <w:rFonts w:ascii="宋体" w:hAnsi="宋体"/>
          <w:sz w:val="24"/>
          <w:szCs w:val="24"/>
        </w:rPr>
      </w:pPr>
      <w:bookmarkStart w:id="1" w:name="_Toc261273866"/>
      <w:r w:rsidRPr="00291F34">
        <w:rPr>
          <w:rFonts w:ascii="宋体" w:hAnsi="宋体" w:hint="eastAsia"/>
          <w:sz w:val="24"/>
          <w:szCs w:val="24"/>
        </w:rPr>
        <w:t>语言学与应用语言学</w:t>
      </w:r>
      <w:bookmarkEnd w:id="1"/>
    </w:p>
    <w:p w:rsidR="00FB6C77" w:rsidRPr="00291F34" w:rsidRDefault="00FB6C77" w:rsidP="00FB6C77">
      <w:pPr>
        <w:numPr>
          <w:ilvl w:val="3"/>
          <w:numId w:val="1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 xml:space="preserve">日本語の二重否定の構造 </w:t>
      </w:r>
    </w:p>
    <w:p w:rsidR="00FB6C77" w:rsidRPr="00291F34" w:rsidRDefault="00FB6C77" w:rsidP="00FB6C77">
      <w:pPr>
        <w:numPr>
          <w:ilvl w:val="3"/>
          <w:numId w:val="1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日本語の文における人称性</w:t>
      </w:r>
    </w:p>
    <w:p w:rsidR="00FB6C77" w:rsidRPr="00291F34" w:rsidRDefault="00FB6C77" w:rsidP="00FB6C77">
      <w:pPr>
        <w:numPr>
          <w:ilvl w:val="3"/>
          <w:numId w:val="1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中日の主題問題について</w:t>
      </w:r>
    </w:p>
    <w:p w:rsidR="00FB6C77" w:rsidRPr="00291F34" w:rsidRDefault="00FB6C77" w:rsidP="00FB6C77">
      <w:pPr>
        <w:numPr>
          <w:ilvl w:val="3"/>
          <w:numId w:val="1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日本語翻訳語と中国語の外来語</w:t>
      </w:r>
    </w:p>
    <w:p w:rsidR="00FB6C77" w:rsidRPr="00291F34" w:rsidRDefault="00FB6C77" w:rsidP="00FB6C77">
      <w:pPr>
        <w:pStyle w:val="3"/>
        <w:spacing w:before="0" w:after="0" w:line="240" w:lineRule="auto"/>
        <w:ind w:left="426" w:hanging="426"/>
        <w:rPr>
          <w:rFonts w:ascii="MS Mincho" w:eastAsia="MS Mincho" w:hAnsi="MS Mincho"/>
          <w:sz w:val="24"/>
          <w:szCs w:val="24"/>
        </w:rPr>
      </w:pPr>
      <w:bookmarkStart w:id="2" w:name="_Toc261273867"/>
      <w:r w:rsidRPr="00291F34">
        <w:rPr>
          <w:rFonts w:ascii="MS Mincho" w:eastAsia="MS Mincho" w:hAnsi="MS Mincho" w:hint="eastAsia"/>
          <w:sz w:val="24"/>
          <w:szCs w:val="24"/>
        </w:rPr>
        <w:t>日本文学</w:t>
      </w:r>
      <w:r w:rsidRPr="00291F34">
        <w:rPr>
          <w:rFonts w:ascii="MS Mincho" w:hAnsi="宋体" w:hint="eastAsia"/>
          <w:sz w:val="24"/>
          <w:szCs w:val="24"/>
        </w:rPr>
        <w:t>评论</w:t>
      </w:r>
      <w:bookmarkEnd w:id="2"/>
    </w:p>
    <w:p w:rsidR="00FB6C77" w:rsidRPr="00291F34" w:rsidRDefault="00FB6C77" w:rsidP="00FB6C77">
      <w:pPr>
        <w:numPr>
          <w:ilvl w:val="0"/>
          <w:numId w:val="3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源氏物語に見られる白居易の影響</w:t>
      </w:r>
    </w:p>
    <w:p w:rsidR="00FB6C77" w:rsidRPr="00291F34" w:rsidRDefault="00FB6C77" w:rsidP="00FB6C77">
      <w:pPr>
        <w:numPr>
          <w:ilvl w:val="0"/>
          <w:numId w:val="3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『伊豆の踊子』から見る川端康成の孤独感</w:t>
      </w:r>
    </w:p>
    <w:p w:rsidR="00FB6C77" w:rsidRPr="00291F34" w:rsidRDefault="00FB6C77" w:rsidP="00FB6C77">
      <w:pPr>
        <w:numPr>
          <w:ilvl w:val="0"/>
          <w:numId w:val="3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横光利一について――その新感覚派時代小説の特徴及び限界</w:t>
      </w:r>
    </w:p>
    <w:p w:rsidR="00FB6C77" w:rsidRPr="00291F34" w:rsidRDefault="00FB6C77" w:rsidP="00FB6C77">
      <w:pPr>
        <w:pStyle w:val="3"/>
        <w:spacing w:before="0" w:after="0" w:line="240" w:lineRule="auto"/>
        <w:ind w:left="426" w:hanging="426"/>
        <w:rPr>
          <w:rFonts w:ascii="MS Mincho" w:eastAsia="MS Mincho" w:hAnsi="MS Mincho"/>
          <w:sz w:val="24"/>
          <w:szCs w:val="24"/>
        </w:rPr>
      </w:pPr>
      <w:bookmarkStart w:id="3" w:name="_Toc261273868"/>
      <w:r w:rsidRPr="00291F34">
        <w:rPr>
          <w:rFonts w:ascii="MS Mincho" w:eastAsia="MS Mincho" w:hAnsi="MS Mincho" w:hint="eastAsia"/>
          <w:sz w:val="24"/>
          <w:szCs w:val="24"/>
        </w:rPr>
        <w:t>日本社会文化研究</w:t>
      </w:r>
      <w:bookmarkEnd w:id="3"/>
    </w:p>
    <w:p w:rsidR="00FB6C77" w:rsidRPr="00291F34" w:rsidRDefault="00FB6C77" w:rsidP="00FB6C77">
      <w:pPr>
        <w:numPr>
          <w:ilvl w:val="0"/>
          <w:numId w:val="4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危機意識と日本人のいろいろな表現</w:t>
      </w:r>
    </w:p>
    <w:p w:rsidR="00FB6C77" w:rsidRPr="00291F34" w:rsidRDefault="00FB6C77" w:rsidP="00FB6C77">
      <w:pPr>
        <w:numPr>
          <w:ilvl w:val="0"/>
          <w:numId w:val="4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「桃太郎」から見る日本の小さい英雄主義</w:t>
      </w:r>
    </w:p>
    <w:p w:rsidR="00FB6C77" w:rsidRPr="00291F34" w:rsidRDefault="00FB6C77" w:rsidP="00FB6C77">
      <w:pPr>
        <w:numPr>
          <w:ilvl w:val="0"/>
          <w:numId w:val="4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マンガと日本文化の関係及び日本文化の伝播</w:t>
      </w:r>
    </w:p>
    <w:p w:rsidR="00FB6C77" w:rsidRPr="00291F34" w:rsidRDefault="00FB6C77" w:rsidP="00FB6C77">
      <w:pPr>
        <w:pStyle w:val="3"/>
        <w:spacing w:before="0" w:after="0" w:line="240" w:lineRule="auto"/>
        <w:ind w:left="426" w:hanging="426"/>
        <w:rPr>
          <w:rFonts w:ascii="MS Mincho" w:eastAsia="MS Mincho" w:hAnsi="MS Mincho"/>
          <w:sz w:val="24"/>
          <w:szCs w:val="24"/>
        </w:rPr>
      </w:pPr>
      <w:bookmarkStart w:id="4" w:name="_Toc261273869"/>
      <w:r w:rsidRPr="00291F34">
        <w:rPr>
          <w:rFonts w:ascii="MS Mincho" w:eastAsia="MS Mincho" w:hAnsi="MS Mincho" w:hint="eastAsia"/>
          <w:sz w:val="24"/>
          <w:szCs w:val="24"/>
        </w:rPr>
        <w:t>中日文学文化比</w:t>
      </w:r>
      <w:r w:rsidRPr="00291F34">
        <w:rPr>
          <w:rFonts w:ascii="MS Mincho" w:hAnsi="宋体" w:hint="eastAsia"/>
          <w:sz w:val="24"/>
          <w:szCs w:val="24"/>
        </w:rPr>
        <w:t>较</w:t>
      </w:r>
      <w:bookmarkEnd w:id="4"/>
    </w:p>
    <w:p w:rsidR="00FB6C77" w:rsidRPr="00291F34" w:rsidRDefault="00FB6C77" w:rsidP="00FB6C77">
      <w:pPr>
        <w:numPr>
          <w:ilvl w:val="0"/>
          <w:numId w:val="5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中日両国の「あいさつ」に関する比較</w:t>
      </w:r>
    </w:p>
    <w:p w:rsidR="00FB6C77" w:rsidRPr="00291F34" w:rsidRDefault="00FB6C77" w:rsidP="00FB6C77">
      <w:pPr>
        <w:numPr>
          <w:ilvl w:val="0"/>
          <w:numId w:val="5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「謝り」から見る中日文化の相違について</w:t>
      </w:r>
    </w:p>
    <w:p w:rsidR="00FB6C77" w:rsidRPr="00291F34" w:rsidRDefault="00FB6C77" w:rsidP="00FB6C77">
      <w:pPr>
        <w:numPr>
          <w:ilvl w:val="0"/>
          <w:numId w:val="5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牡丹と桜から見る中日両国文化の違い</w:t>
      </w:r>
    </w:p>
    <w:p w:rsidR="00FB6C77" w:rsidRPr="00291F34" w:rsidRDefault="00FB6C77" w:rsidP="00FB6C77">
      <w:pPr>
        <w:numPr>
          <w:ilvl w:val="0"/>
          <w:numId w:val="5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中日両国の七夕伝説の比較</w:t>
      </w:r>
    </w:p>
    <w:p w:rsidR="00FB6C77" w:rsidRPr="00291F34" w:rsidRDefault="00FB6C77" w:rsidP="00FB6C77">
      <w:pPr>
        <w:numPr>
          <w:ilvl w:val="0"/>
          <w:numId w:val="5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黄遵憲の日本論</w:t>
      </w:r>
    </w:p>
    <w:p w:rsidR="00FB6C77" w:rsidRPr="00291F34" w:rsidRDefault="00FB6C77" w:rsidP="00FB6C77">
      <w:pPr>
        <w:pStyle w:val="3"/>
        <w:spacing w:before="0" w:after="0" w:line="240" w:lineRule="auto"/>
        <w:ind w:left="426" w:hanging="426"/>
        <w:rPr>
          <w:rFonts w:ascii="MS Mincho" w:eastAsia="MS Mincho" w:hAnsi="MS Mincho"/>
          <w:sz w:val="24"/>
          <w:szCs w:val="24"/>
        </w:rPr>
      </w:pPr>
      <w:bookmarkStart w:id="5" w:name="_Toc261273870"/>
      <w:r w:rsidRPr="00291F34">
        <w:rPr>
          <w:rFonts w:ascii="MS Mincho" w:eastAsia="MS Mincho" w:hAnsi="MS Mincho" w:hint="eastAsia"/>
          <w:sz w:val="24"/>
          <w:szCs w:val="24"/>
        </w:rPr>
        <w:t>翻</w:t>
      </w:r>
      <w:r w:rsidRPr="00291F34">
        <w:rPr>
          <w:rFonts w:ascii="MS Mincho" w:hAnsi="宋体" w:hint="eastAsia"/>
          <w:sz w:val="24"/>
          <w:szCs w:val="24"/>
        </w:rPr>
        <w:t>译</w:t>
      </w:r>
      <w:r w:rsidRPr="00291F34">
        <w:rPr>
          <w:rFonts w:ascii="MS Mincho" w:eastAsia="MS Mincho" w:hAnsi="MS Mincho" w:hint="eastAsia"/>
          <w:sz w:val="24"/>
          <w:szCs w:val="24"/>
        </w:rPr>
        <w:t>理</w:t>
      </w:r>
      <w:r w:rsidRPr="00291F34">
        <w:rPr>
          <w:rFonts w:ascii="MS Mincho" w:hAnsi="宋体" w:hint="eastAsia"/>
          <w:sz w:val="24"/>
          <w:szCs w:val="24"/>
        </w:rPr>
        <w:t>论</w:t>
      </w:r>
      <w:r w:rsidRPr="00291F34">
        <w:rPr>
          <w:rFonts w:ascii="MS Mincho" w:eastAsia="MS Mincho" w:hAnsi="MS Mincho" w:hint="eastAsia"/>
          <w:sz w:val="24"/>
          <w:szCs w:val="24"/>
        </w:rPr>
        <w:t>与</w:t>
      </w:r>
      <w:r w:rsidRPr="00291F34">
        <w:rPr>
          <w:rFonts w:ascii="MS Mincho" w:hAnsi="宋体" w:hint="eastAsia"/>
          <w:sz w:val="24"/>
          <w:szCs w:val="24"/>
        </w:rPr>
        <w:t>实</w:t>
      </w:r>
      <w:r w:rsidRPr="00291F34">
        <w:rPr>
          <w:rFonts w:ascii="MS Mincho" w:eastAsia="MS Mincho" w:hAnsi="MS Mincho" w:hint="eastAsia"/>
          <w:sz w:val="24"/>
          <w:szCs w:val="24"/>
        </w:rPr>
        <w:t>践</w:t>
      </w:r>
      <w:bookmarkEnd w:id="5"/>
    </w:p>
    <w:p w:rsidR="00FB6C77" w:rsidRPr="00291F34" w:rsidRDefault="00FB6C77" w:rsidP="00FB6C77">
      <w:pPr>
        <w:numPr>
          <w:ilvl w:val="0"/>
          <w:numId w:val="6"/>
        </w:numPr>
        <w:rPr>
          <w:rFonts w:ascii="MS Mincho" w:eastAsia="MS Mincho" w:hAnsi="MS Mincho"/>
          <w:b/>
          <w:bCs/>
          <w:sz w:val="24"/>
          <w:shd w:val="pct15" w:color="auto" w:fill="FFFFFF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翻訳可能性の制限について</w:t>
      </w:r>
    </w:p>
    <w:p w:rsidR="00FB6C77" w:rsidRPr="00291F34" w:rsidRDefault="00FB6C77" w:rsidP="00FB6C77">
      <w:pPr>
        <w:numPr>
          <w:ilvl w:val="0"/>
          <w:numId w:val="6"/>
        </w:numPr>
        <w:rPr>
          <w:rFonts w:ascii="MS Mincho" w:eastAsia="MS Mincho" w:hAnsi="MS Mincho"/>
          <w:sz w:val="24"/>
          <w:lang w:eastAsia="ja-JP"/>
        </w:rPr>
      </w:pPr>
      <w:r w:rsidRPr="00291F34">
        <w:rPr>
          <w:rFonts w:ascii="MS Mincho" w:eastAsia="MS Mincho" w:hAnsi="MS Mincho" w:hint="eastAsia"/>
          <w:sz w:val="24"/>
          <w:lang w:eastAsia="ja-JP"/>
        </w:rPr>
        <w:t>『雪国』の翻訳をめぐって</w:t>
      </w:r>
    </w:p>
    <w:p w:rsidR="00FB6C77" w:rsidRPr="00291F34" w:rsidRDefault="00FB6C77" w:rsidP="00FB6C77">
      <w:pPr>
        <w:pStyle w:val="30"/>
        <w:tabs>
          <w:tab w:val="left" w:pos="1701"/>
        </w:tabs>
        <w:ind w:left="568" w:firstLineChars="0" w:firstLine="0"/>
        <w:jc w:val="both"/>
        <w:rPr>
          <w:szCs w:val="24"/>
          <w:lang w:eastAsia="ja-JP"/>
        </w:rPr>
      </w:pPr>
    </w:p>
    <w:p w:rsidR="00FB6C77" w:rsidRPr="00291F34" w:rsidRDefault="00FB6C77" w:rsidP="00FB6C77">
      <w:pPr>
        <w:pStyle w:val="30"/>
        <w:ind w:left="568" w:firstLineChars="0" w:firstLine="0"/>
        <w:jc w:val="both"/>
        <w:rPr>
          <w:szCs w:val="24"/>
        </w:rPr>
      </w:pPr>
      <w:r w:rsidRPr="00291F34">
        <w:rPr>
          <w:rFonts w:hint="eastAsia"/>
          <w:szCs w:val="24"/>
        </w:rPr>
        <w:t>…… ……</w:t>
      </w:r>
    </w:p>
    <w:p w:rsidR="00FB6C77" w:rsidRDefault="00FB6C77"/>
    <w:sectPr w:rsidR="00FB6C77" w:rsidSect="000A34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856" w:rsidRDefault="00163856" w:rsidP="00C43965">
      <w:r>
        <w:separator/>
      </w:r>
    </w:p>
  </w:endnote>
  <w:endnote w:type="continuationSeparator" w:id="0">
    <w:p w:rsidR="00163856" w:rsidRDefault="00163856" w:rsidP="00C4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856" w:rsidRDefault="00163856" w:rsidP="00C43965">
      <w:r>
        <w:separator/>
      </w:r>
    </w:p>
  </w:footnote>
  <w:footnote w:type="continuationSeparator" w:id="0">
    <w:p w:rsidR="00163856" w:rsidRDefault="00163856" w:rsidP="00C439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2018"/>
    <w:multiLevelType w:val="hybridMultilevel"/>
    <w:tmpl w:val="DA3841EA"/>
    <w:lvl w:ilvl="0" w:tplc="2EDC1CD8">
      <w:start w:val="1"/>
      <w:numFmt w:val="decimal"/>
      <w:lvlText w:val="%1."/>
      <w:lvlJc w:val="left"/>
      <w:pPr>
        <w:ind w:left="779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1FCC0AFC"/>
    <w:multiLevelType w:val="multilevel"/>
    <w:tmpl w:val="7D1051F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  <w:color w:val="FF000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8F623CA"/>
    <w:multiLevelType w:val="hybridMultilevel"/>
    <w:tmpl w:val="1DC8F624"/>
    <w:lvl w:ilvl="0" w:tplc="4F12CA48">
      <w:start w:val="1"/>
      <w:numFmt w:val="decimal"/>
      <w:lvlText w:val="%1."/>
      <w:lvlJc w:val="left"/>
      <w:pPr>
        <w:ind w:left="779" w:hanging="42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3">
    <w:nsid w:val="4E554BE9"/>
    <w:multiLevelType w:val="hybridMultilevel"/>
    <w:tmpl w:val="B274AE06"/>
    <w:lvl w:ilvl="0" w:tplc="0409000F">
      <w:start w:val="1"/>
      <w:numFmt w:val="decimal"/>
      <w:lvlText w:val="%1."/>
      <w:lvlJc w:val="left"/>
      <w:pPr>
        <w:ind w:left="1288" w:hanging="720"/>
      </w:pPr>
      <w:rPr>
        <w:rFonts w:hint="default"/>
        <w:b w:val="0"/>
        <w:lang w:val="en-US"/>
      </w:rPr>
    </w:lvl>
    <w:lvl w:ilvl="1" w:tplc="D848E2F0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B306937E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9070B8E6">
      <w:start w:val="1"/>
      <w:numFmt w:val="decimal"/>
      <w:lvlText w:val="%4."/>
      <w:lvlJc w:val="left"/>
      <w:pPr>
        <w:ind w:left="786" w:hanging="360"/>
      </w:pPr>
      <w:rPr>
        <w:rFonts w:ascii="宋体" w:eastAsia="宋体" w:hAnsi="宋体"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68A1938"/>
    <w:multiLevelType w:val="hybridMultilevel"/>
    <w:tmpl w:val="1DC8F624"/>
    <w:lvl w:ilvl="0" w:tplc="4F12CA48">
      <w:start w:val="1"/>
      <w:numFmt w:val="decimal"/>
      <w:lvlText w:val="%1."/>
      <w:lvlJc w:val="left"/>
      <w:pPr>
        <w:ind w:left="779" w:hanging="42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5">
    <w:nsid w:val="77402F26"/>
    <w:multiLevelType w:val="hybridMultilevel"/>
    <w:tmpl w:val="1DC8F624"/>
    <w:lvl w:ilvl="0" w:tplc="4F12CA48">
      <w:start w:val="1"/>
      <w:numFmt w:val="decimal"/>
      <w:lvlText w:val="%1."/>
      <w:lvlJc w:val="left"/>
      <w:pPr>
        <w:ind w:left="779" w:hanging="42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9EF"/>
    <w:rsid w:val="000A3401"/>
    <w:rsid w:val="00163856"/>
    <w:rsid w:val="004A7AE0"/>
    <w:rsid w:val="009269EF"/>
    <w:rsid w:val="009A76CF"/>
    <w:rsid w:val="00C43965"/>
    <w:rsid w:val="00FB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0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B6C77"/>
    <w:pPr>
      <w:keepNext/>
      <w:numPr>
        <w:numId w:val="2"/>
      </w:numPr>
      <w:outlineLvl w:val="0"/>
    </w:pPr>
    <w:rPr>
      <w:rFonts w:ascii="Times New Roman" w:eastAsia="宋体" w:hAnsi="Times New Roman" w:cs="Times New Roman"/>
      <w:sz w:val="32"/>
      <w:szCs w:val="20"/>
    </w:rPr>
  </w:style>
  <w:style w:type="paragraph" w:styleId="2">
    <w:name w:val="heading 2"/>
    <w:basedOn w:val="a"/>
    <w:next w:val="a"/>
    <w:link w:val="2Char"/>
    <w:qFormat/>
    <w:rsid w:val="00FB6C77"/>
    <w:pPr>
      <w:keepNext/>
      <w:keepLines/>
      <w:numPr>
        <w:ilvl w:val="1"/>
        <w:numId w:val="2"/>
      </w:numPr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FB6C77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FB6C77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FB6C77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FB6C77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Cambria" w:eastAsia="宋体" w:hAnsi="Cambria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B6C77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B6C77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Cambria" w:eastAsia="宋体" w:hAnsi="Cambria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B6C77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Cambria" w:eastAsia="宋体" w:hAnsi="Cambria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B6C77"/>
    <w:rPr>
      <w:rFonts w:ascii="Times New Roman" w:eastAsia="宋体" w:hAnsi="Times New Roman" w:cs="Times New Roman"/>
      <w:sz w:val="32"/>
      <w:szCs w:val="20"/>
    </w:rPr>
  </w:style>
  <w:style w:type="character" w:customStyle="1" w:styleId="2Char">
    <w:name w:val="标题 2 Char"/>
    <w:basedOn w:val="a0"/>
    <w:link w:val="2"/>
    <w:rsid w:val="00FB6C77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FB6C77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FB6C77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FB6C77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FB6C77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B6C77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B6C77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B6C77"/>
    <w:rPr>
      <w:rFonts w:ascii="Cambria" w:eastAsia="宋体" w:hAnsi="Cambria" w:cs="Times New Roman"/>
      <w:szCs w:val="21"/>
    </w:rPr>
  </w:style>
  <w:style w:type="paragraph" w:styleId="30">
    <w:name w:val="Body Text Indent 3"/>
    <w:basedOn w:val="a"/>
    <w:link w:val="3Char0"/>
    <w:rsid w:val="00FB6C77"/>
    <w:pPr>
      <w:widowControl/>
      <w:ind w:firstLineChars="100" w:firstLine="240"/>
      <w:jc w:val="left"/>
    </w:pPr>
    <w:rPr>
      <w:rFonts w:ascii="宋体" w:eastAsia="宋体" w:hAnsi="宋体" w:cs="Times New Roman"/>
      <w:sz w:val="24"/>
      <w:szCs w:val="28"/>
    </w:rPr>
  </w:style>
  <w:style w:type="character" w:customStyle="1" w:styleId="3Char0">
    <w:name w:val="正文文本缩进 3 Char"/>
    <w:basedOn w:val="a0"/>
    <w:link w:val="30"/>
    <w:rsid w:val="00FB6C77"/>
    <w:rPr>
      <w:rFonts w:ascii="宋体" w:eastAsia="宋体" w:hAnsi="宋体" w:cs="Times New Roman"/>
      <w:sz w:val="24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C43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39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3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39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lijingbo</dc:creator>
  <cp:lastModifiedBy>lijingbo</cp:lastModifiedBy>
  <cp:revision>4</cp:revision>
  <dcterms:created xsi:type="dcterms:W3CDTF">2012-09-10T08:57:00Z</dcterms:created>
  <dcterms:modified xsi:type="dcterms:W3CDTF">2012-09-11T02:38:00Z</dcterms:modified>
</cp:coreProperties>
</file>